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A91D3">
      <w:pPr>
        <w:spacing w:line="360" w:lineRule="auto"/>
        <w:jc w:val="center"/>
        <w:rPr>
          <w:rFonts w:hint="eastAsia" w:ascii="宋体" w:hAnsi="宋体" w:eastAsia="宋体" w:cs="宋体"/>
          <w:b w:val="0"/>
          <w:bCs/>
          <w:color w:val="000000"/>
          <w:kern w:val="2"/>
          <w:sz w:val="36"/>
          <w:szCs w:val="36"/>
          <w:highlight w:val="none"/>
          <w:lang w:val="en-US" w:eastAsia="zh-CN" w:bidi="ar-SA"/>
        </w:rPr>
      </w:pPr>
      <w:bookmarkStart w:id="14" w:name="_GoBack"/>
      <w:r>
        <w:rPr>
          <w:rFonts w:hint="eastAsia" w:ascii="宋体" w:hAnsi="宋体" w:eastAsia="宋体" w:cs="宋体"/>
          <w:b w:val="0"/>
          <w:bCs/>
          <w:color w:val="000000"/>
          <w:kern w:val="2"/>
          <w:sz w:val="36"/>
          <w:szCs w:val="36"/>
          <w:highlight w:val="none"/>
          <w:lang w:val="en-US" w:eastAsia="zh-CN" w:bidi="ar-SA"/>
        </w:rPr>
        <w:t>昆明城市公共交通一卡通有限责任公司2025年度信息系统(硬件)维护项目竞争性磋商公告</w:t>
      </w:r>
      <w:bookmarkEnd w:id="14"/>
    </w:p>
    <w:p w14:paraId="1FB17748">
      <w:pPr>
        <w:pStyle w:val="6"/>
        <w:numPr>
          <w:ilvl w:val="0"/>
          <w:numId w:val="1"/>
        </w:numPr>
        <w:spacing w:line="360" w:lineRule="auto"/>
        <w:jc w:val="left"/>
        <w:rPr>
          <w:rFonts w:ascii="宋体" w:hAnsi="宋体" w:eastAsia="宋体"/>
          <w:color w:val="000000"/>
          <w:szCs w:val="24"/>
          <w:highlight w:val="none"/>
        </w:rPr>
      </w:pPr>
      <w:bookmarkStart w:id="0" w:name="_Toc88165949"/>
      <w:bookmarkStart w:id="1" w:name="_Toc16367"/>
      <w:r>
        <w:rPr>
          <w:rFonts w:hint="eastAsia" w:ascii="宋体" w:hAnsi="宋体" w:eastAsia="宋体"/>
          <w:color w:val="000000"/>
          <w:szCs w:val="24"/>
          <w:highlight w:val="none"/>
        </w:rPr>
        <w:t>采购条件</w:t>
      </w:r>
      <w:bookmarkEnd w:id="0"/>
      <w:bookmarkEnd w:id="1"/>
    </w:p>
    <w:p w14:paraId="18F941EC">
      <w:pPr>
        <w:spacing w:line="360" w:lineRule="auto"/>
        <w:ind w:firstLine="480" w:firstLineChars="200"/>
        <w:rPr>
          <w:rFonts w:hint="eastAsia" w:ascii="宋体" w:hAnsi="宋体" w:eastAsia="宋体" w:cs="Times New Roman"/>
          <w:bCs/>
          <w:color w:val="000000"/>
          <w:sz w:val="24"/>
          <w:szCs w:val="24"/>
          <w:highlight w:val="none"/>
        </w:rPr>
      </w:pPr>
      <w:r>
        <w:rPr>
          <w:rFonts w:hint="eastAsia" w:ascii="宋体" w:hAnsi="宋体" w:eastAsia="宋体" w:cs="Times New Roman"/>
          <w:bCs/>
          <w:color w:val="000000"/>
          <w:sz w:val="24"/>
          <w:szCs w:val="24"/>
          <w:highlight w:val="none"/>
        </w:rPr>
        <w:t>根据现行法律法规规定，采购人为昆明城市公共交通一卡通有限责任公司，项目资金来自企业自筹，采购代理机构为云南国瑞咨询管理有限公司，项目资金来自企业自筹，项目已具备磋商条件，现对该项目进行竞争性磋商。</w:t>
      </w:r>
    </w:p>
    <w:p w14:paraId="1B33EA6F">
      <w:pPr>
        <w:pStyle w:val="6"/>
        <w:numPr>
          <w:ilvl w:val="0"/>
          <w:numId w:val="1"/>
        </w:numPr>
        <w:spacing w:line="360" w:lineRule="auto"/>
        <w:jc w:val="left"/>
        <w:rPr>
          <w:rFonts w:hint="eastAsia" w:ascii="宋体" w:hAnsi="宋体" w:eastAsia="宋体" w:cs="宋体"/>
          <w:b w:val="0"/>
          <w:bCs/>
          <w:color w:val="000000"/>
          <w:szCs w:val="24"/>
          <w:highlight w:val="none"/>
        </w:rPr>
      </w:pPr>
      <w:bookmarkStart w:id="2" w:name="_Toc88165950"/>
      <w:bookmarkStart w:id="3" w:name="_Toc20716"/>
      <w:r>
        <w:rPr>
          <w:rFonts w:hint="eastAsia" w:ascii="宋体" w:hAnsi="宋体" w:eastAsia="宋体" w:cs="宋体"/>
          <w:b w:val="0"/>
          <w:bCs/>
          <w:color w:val="000000"/>
          <w:szCs w:val="24"/>
          <w:highlight w:val="none"/>
        </w:rPr>
        <w:t>项目概况</w:t>
      </w:r>
      <w:bookmarkEnd w:id="2"/>
      <w:bookmarkEnd w:id="3"/>
    </w:p>
    <w:p w14:paraId="584F585B">
      <w:pPr>
        <w:spacing w:line="360" w:lineRule="auto"/>
        <w:ind w:firstLine="480" w:firstLineChars="200"/>
        <w:rPr>
          <w:rFonts w:hint="eastAsia" w:ascii="宋体" w:hAnsi="宋体"/>
          <w:bCs/>
          <w:color w:val="000000"/>
          <w:sz w:val="24"/>
          <w:szCs w:val="24"/>
        </w:rPr>
      </w:pPr>
      <w:r>
        <w:rPr>
          <w:rFonts w:hint="eastAsia" w:ascii="宋体" w:hAnsi="宋体" w:eastAsia="宋体" w:cs="Times New Roman"/>
          <w:bCs/>
          <w:color w:val="000000"/>
          <w:sz w:val="24"/>
          <w:szCs w:val="24"/>
          <w:highlight w:val="none"/>
        </w:rPr>
        <w:t>2.1</w:t>
      </w:r>
      <w:r>
        <w:rPr>
          <w:rFonts w:hint="eastAsia" w:ascii="宋体" w:hAnsi="宋体" w:eastAsia="宋体" w:cs="HiddenHorzOCR"/>
          <w:color w:val="000000"/>
          <w:sz w:val="24"/>
          <w:szCs w:val="24"/>
          <w:lang w:eastAsia="zh-CN"/>
        </w:rPr>
        <w:t>磋商</w:t>
      </w:r>
      <w:r>
        <w:rPr>
          <w:rFonts w:hint="eastAsia" w:ascii="宋体" w:hAnsi="宋体"/>
          <w:bCs/>
          <w:color w:val="000000"/>
          <w:sz w:val="24"/>
          <w:szCs w:val="24"/>
        </w:rPr>
        <w:t>范围：</w:t>
      </w:r>
      <w:r>
        <w:rPr>
          <w:rFonts w:hint="eastAsia" w:ascii="宋体" w:hAnsi="宋体"/>
          <w:bCs/>
          <w:color w:val="000000"/>
          <w:sz w:val="24"/>
          <w:szCs w:val="24"/>
          <w:lang w:eastAsia="zh-CN"/>
        </w:rPr>
        <w:t>昆明城市公共交通一卡通有限责任公司2025年度信息系统(硬件)维护项目</w:t>
      </w:r>
      <w:r>
        <w:rPr>
          <w:rFonts w:hint="eastAsia" w:ascii="宋体" w:hAnsi="宋体"/>
          <w:bCs/>
          <w:color w:val="000000"/>
          <w:sz w:val="24"/>
          <w:szCs w:val="24"/>
        </w:rPr>
        <w:t>，确保机房软硬件及网络设备正常运行（机房软硬件及网络设备清单详见第六章服务要求）包含以下内容：（1）网络设备及UPS运维服务（2）小型机系统硬件（操作系统、系统软件）运维服务（3）系统故障处理服务（4）应急保障服务（5）系统日常维护及巡检服务（6）技术咨询与培训服务（7）紧急现场支持和紧急故障服务（8）重要时段（护网期间、重大会议期等）现场值守服务（9）机房及网络资产治理服务</w:t>
      </w:r>
      <w:r>
        <w:rPr>
          <w:rFonts w:hint="eastAsia" w:ascii="宋体" w:hAnsi="宋体"/>
          <w:color w:val="000000"/>
          <w:sz w:val="24"/>
          <w:szCs w:val="24"/>
          <w:highlight w:val="none"/>
          <w:lang w:val="en-US" w:eastAsia="zh-CN"/>
        </w:rPr>
        <w:t>。</w:t>
      </w:r>
    </w:p>
    <w:p w14:paraId="184EA59B">
      <w:pPr>
        <w:spacing w:line="360" w:lineRule="auto"/>
        <w:ind w:firstLine="480" w:firstLineChars="200"/>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rPr>
        <w:t>2.</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采购项目的预算：</w:t>
      </w:r>
      <w:r>
        <w:rPr>
          <w:rFonts w:hint="eastAsia" w:ascii="宋体" w:hAnsi="宋体"/>
          <w:color w:val="000000"/>
          <w:sz w:val="24"/>
          <w:szCs w:val="24"/>
          <w:highlight w:val="none"/>
          <w:lang w:val="en-US" w:eastAsia="zh-CN"/>
        </w:rPr>
        <w:t>26.92万元</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概预算金额不视为采购人作出的采购量承诺，最终以采购人实际需求量为准。</w:t>
      </w:r>
    </w:p>
    <w:p w14:paraId="4C3BAD32">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2.3服务期限：一年（自合同签订之日起算）</w:t>
      </w:r>
    </w:p>
    <w:p w14:paraId="5B65271C">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2.4服务</w:t>
      </w:r>
      <w:r>
        <w:rPr>
          <w:rFonts w:ascii="宋体" w:hAnsi="宋体"/>
          <w:bCs/>
          <w:color w:val="000000"/>
          <w:sz w:val="24"/>
          <w:szCs w:val="24"/>
        </w:rPr>
        <w:t>地点</w:t>
      </w:r>
      <w:r>
        <w:rPr>
          <w:rFonts w:hint="eastAsia" w:ascii="宋体" w:hAnsi="宋体"/>
          <w:bCs/>
          <w:color w:val="000000"/>
          <w:sz w:val="24"/>
          <w:szCs w:val="24"/>
        </w:rPr>
        <w:t>：昆明城市公共交通一卡通有限责任公司指定地点。</w:t>
      </w:r>
    </w:p>
    <w:p w14:paraId="3633E313">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2.5质量要求：满足采购人使用要求及</w:t>
      </w:r>
      <w:r>
        <w:rPr>
          <w:rFonts w:hint="eastAsia" w:ascii="宋体" w:hAnsi="宋体"/>
          <w:bCs/>
          <w:color w:val="000000"/>
          <w:sz w:val="24"/>
          <w:szCs w:val="24"/>
          <w:lang w:eastAsia="zh-CN"/>
        </w:rPr>
        <w:t>竞争性谈判</w:t>
      </w:r>
      <w:r>
        <w:rPr>
          <w:rFonts w:hint="eastAsia" w:ascii="宋体" w:hAnsi="宋体"/>
          <w:bCs/>
          <w:color w:val="000000"/>
          <w:sz w:val="24"/>
          <w:szCs w:val="24"/>
        </w:rPr>
        <w:t>文件第六章服务要求，确保机房软硬件及网络设备稳定、可靠、安全、高效和不间断地运行。</w:t>
      </w:r>
    </w:p>
    <w:p w14:paraId="0EE13DE0">
      <w:pPr>
        <w:pStyle w:val="6"/>
        <w:numPr>
          <w:ilvl w:val="0"/>
          <w:numId w:val="1"/>
        </w:numPr>
        <w:spacing w:line="360" w:lineRule="auto"/>
        <w:jc w:val="left"/>
        <w:rPr>
          <w:rFonts w:hint="eastAsia" w:ascii="宋体" w:hAnsi="宋体" w:eastAsia="宋体" w:cs="宋体"/>
          <w:b w:val="0"/>
          <w:bCs/>
          <w:color w:val="000000"/>
          <w:szCs w:val="24"/>
          <w:highlight w:val="none"/>
        </w:rPr>
      </w:pPr>
      <w:bookmarkStart w:id="4" w:name="_Toc234"/>
      <w:bookmarkStart w:id="5" w:name="_Toc88165951"/>
      <w:r>
        <w:rPr>
          <w:rFonts w:hint="eastAsia" w:ascii="宋体" w:hAnsi="宋体" w:eastAsia="宋体" w:cs="宋体"/>
          <w:b w:val="0"/>
          <w:bCs/>
          <w:color w:val="000000"/>
          <w:szCs w:val="24"/>
          <w:highlight w:val="none"/>
        </w:rPr>
        <w:t>供应商资格要求</w:t>
      </w:r>
      <w:bookmarkEnd w:id="4"/>
      <w:bookmarkEnd w:id="5"/>
    </w:p>
    <w:p w14:paraId="50B84468">
      <w:pPr>
        <w:spacing w:line="360" w:lineRule="auto"/>
        <w:ind w:firstLine="480" w:firstLineChars="200"/>
        <w:rPr>
          <w:rFonts w:hint="eastAsia" w:ascii="宋体" w:hAnsi="宋体" w:eastAsia="宋体" w:cs="Times New Roman"/>
          <w:color w:val="000000"/>
          <w:sz w:val="24"/>
          <w:szCs w:val="24"/>
          <w:highlight w:val="none"/>
        </w:rPr>
      </w:pPr>
      <w:r>
        <w:rPr>
          <w:rFonts w:hint="eastAsia" w:ascii="宋体" w:hAnsi="宋体"/>
          <w:color w:val="000000"/>
          <w:sz w:val="24"/>
          <w:szCs w:val="24"/>
          <w:highlight w:val="none"/>
        </w:rPr>
        <w:t>3</w:t>
      </w:r>
      <w:r>
        <w:rPr>
          <w:rFonts w:hint="eastAsia" w:ascii="宋体" w:hAnsi="宋体" w:eastAsia="宋体" w:cs="Times New Roman"/>
          <w:color w:val="000000"/>
          <w:sz w:val="24"/>
          <w:szCs w:val="24"/>
          <w:highlight w:val="none"/>
        </w:rPr>
        <w:t>.1</w:t>
      </w:r>
      <w:r>
        <w:rPr>
          <w:rFonts w:hint="eastAsia" w:ascii="宋体" w:hAnsi="宋体"/>
          <w:color w:val="000000"/>
          <w:sz w:val="24"/>
          <w:szCs w:val="24"/>
        </w:rPr>
        <w:t>在中华人民共和国境内注册具有独立法人资格的企业，具有承担民事责任的能力，</w:t>
      </w:r>
      <w:r>
        <w:rPr>
          <w:rFonts w:hint="eastAsia" w:ascii="宋体" w:hAnsi="宋体" w:eastAsia="宋体" w:cs="Times New Roman"/>
          <w:color w:val="000000"/>
          <w:sz w:val="24"/>
          <w:szCs w:val="24"/>
          <w:lang w:eastAsia="zh-CN"/>
        </w:rPr>
        <w:t>且具有履行合同所必须的设备、资金、人员及专业技术能力；</w:t>
      </w:r>
    </w:p>
    <w:p w14:paraId="39A36E2E">
      <w:pPr>
        <w:spacing w:line="360" w:lineRule="auto"/>
        <w:ind w:firstLine="480" w:firstLineChars="200"/>
        <w:rPr>
          <w:rFonts w:hint="eastAsia" w:ascii="宋体" w:hAnsi="宋体" w:eastAsia="宋体" w:cs="宋体"/>
          <w:color w:val="000000"/>
          <w:sz w:val="24"/>
          <w:szCs w:val="24"/>
          <w:lang w:eastAsia="zh-CN"/>
        </w:rPr>
      </w:pPr>
      <w:bookmarkStart w:id="6" w:name="_Toc88165952"/>
      <w:r>
        <w:rPr>
          <w:rFonts w:hint="eastAsia" w:ascii="宋体" w:hAnsi="宋体" w:eastAsia="宋体" w:cs="宋体"/>
          <w:color w:val="000000"/>
          <w:sz w:val="24"/>
          <w:szCs w:val="24"/>
          <w:lang w:eastAsia="zh-CN"/>
        </w:rPr>
        <w:t>3.2</w:t>
      </w:r>
      <w:r>
        <w:rPr>
          <w:rFonts w:hint="eastAsia" w:ascii="宋体" w:hAnsi="宋体" w:eastAsia="宋体" w:cs="宋体"/>
          <w:color w:val="000000"/>
          <w:sz w:val="24"/>
          <w:szCs w:val="24"/>
        </w:rPr>
        <w:t>供应商提供（1）2022-2024年度任意1个年度的财务会计报表（成立不满1年的供应商根据实际情况提供），包括资产负债表、利润表、现金流量表、所有者权益变动表</w:t>
      </w:r>
      <w:r>
        <w:rPr>
          <w:rFonts w:hint="eastAsia" w:ascii="宋体" w:hAnsi="宋体" w:eastAsia="宋体" w:cs="宋体"/>
          <w:color w:val="000000"/>
          <w:sz w:val="24"/>
          <w:szCs w:val="24"/>
          <w:lang w:eastAsia="zh-CN"/>
        </w:rPr>
        <w:t>等</w:t>
      </w:r>
      <w:r>
        <w:rPr>
          <w:rFonts w:hint="eastAsia" w:ascii="宋体" w:hAnsi="宋体" w:eastAsia="宋体" w:cs="宋体"/>
          <w:color w:val="000000"/>
          <w:sz w:val="24"/>
          <w:szCs w:val="24"/>
        </w:rPr>
        <w:t>；（2）提供自</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文件提交截止时间前三个月内开户银行出具的资信证明或资金存款证明；备注：供应商可根据自身情况提供上述任意一种证明材料</w:t>
      </w:r>
      <w:r>
        <w:rPr>
          <w:rFonts w:hint="eastAsia" w:ascii="宋体" w:hAnsi="宋体" w:eastAsia="宋体" w:cs="宋体"/>
          <w:color w:val="000000"/>
          <w:sz w:val="24"/>
          <w:szCs w:val="24"/>
          <w:lang w:eastAsia="zh-CN"/>
        </w:rPr>
        <w:t>；</w:t>
      </w:r>
    </w:p>
    <w:p w14:paraId="231C22F5">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3.3</w:t>
      </w:r>
      <w:r>
        <w:rPr>
          <w:rFonts w:hint="eastAsia" w:ascii="宋体" w:hAnsi="宋体" w:eastAsia="宋体" w:cs="宋体"/>
          <w:color w:val="000000"/>
          <w:sz w:val="24"/>
          <w:szCs w:val="24"/>
        </w:rPr>
        <w:t>供应商提供缴税所属时间在2024年0</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月至本项目</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文件提交截止时间前任意2个月的税务局税收通用缴款书或银行电子缴税（费）凭证或税务局出具纳税情况的相关证明（成立不满2个月的供应商根据实际情况提供），依法免税的，应提供依法免税的相关证明文件</w:t>
      </w:r>
      <w:r>
        <w:rPr>
          <w:rFonts w:hint="eastAsia" w:ascii="宋体" w:hAnsi="宋体" w:eastAsia="宋体" w:cs="宋体"/>
          <w:color w:val="000000"/>
          <w:sz w:val="24"/>
          <w:szCs w:val="24"/>
          <w:lang w:eastAsia="zh-CN"/>
        </w:rPr>
        <w:t>；</w:t>
      </w:r>
    </w:p>
    <w:p w14:paraId="06690380">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3.4</w:t>
      </w:r>
      <w:r>
        <w:rPr>
          <w:rFonts w:hint="eastAsia" w:ascii="宋体" w:hAnsi="宋体" w:eastAsia="宋体" w:cs="宋体"/>
          <w:color w:val="000000"/>
          <w:sz w:val="24"/>
          <w:szCs w:val="24"/>
        </w:rPr>
        <w:t>供应商提供缴费所属时间在2024年0</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月至本项目投标文件提交截止时间前任意2个月的社会保险费缴款书或银行电子缴税（费）凭证或社保管理部门出具的有效的缴款证明（成立不满2个月的供应商根据实际情况提供），依法免缴的，应提供依法免缴的相关证明文件</w:t>
      </w:r>
      <w:r>
        <w:rPr>
          <w:rFonts w:hint="eastAsia" w:ascii="宋体" w:hAnsi="宋体" w:eastAsia="宋体" w:cs="Times New Roman"/>
          <w:color w:val="000000"/>
          <w:sz w:val="24"/>
          <w:szCs w:val="24"/>
          <w:highlight w:val="none"/>
        </w:rPr>
        <w:t>；</w:t>
      </w:r>
    </w:p>
    <w:p w14:paraId="4885A057">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val="en-US" w:eastAsia="zh-CN"/>
        </w:rPr>
        <w:t>5</w:t>
      </w:r>
      <w:r>
        <w:rPr>
          <w:rFonts w:hint="eastAsia" w:ascii="宋体" w:hAnsi="宋体"/>
          <w:color w:val="000000"/>
          <w:sz w:val="24"/>
          <w:szCs w:val="24"/>
          <w:lang w:eastAsia="zh-CN"/>
        </w:rPr>
        <w:t>供应商</w:t>
      </w:r>
      <w:r>
        <w:rPr>
          <w:rFonts w:hint="eastAsia" w:ascii="宋体" w:hAnsi="宋体"/>
          <w:color w:val="000000"/>
          <w:sz w:val="24"/>
          <w:szCs w:val="24"/>
        </w:rPr>
        <w:t>目前没有处于被停产停业、暂扣或吊销许可证、暂扣或吊销营业执照的；未进入清算程序、财产被接管或破产状态，</w:t>
      </w:r>
      <w:r>
        <w:rPr>
          <w:rFonts w:hint="eastAsia" w:ascii="宋体" w:hAnsi="宋体"/>
          <w:color w:val="000000"/>
          <w:sz w:val="24"/>
          <w:szCs w:val="24"/>
          <w:lang w:eastAsia="zh-CN"/>
        </w:rPr>
        <w:t>磋商</w:t>
      </w:r>
      <w:r>
        <w:rPr>
          <w:rFonts w:hint="eastAsia" w:ascii="宋体" w:hAnsi="宋体"/>
          <w:color w:val="000000"/>
          <w:sz w:val="24"/>
          <w:szCs w:val="24"/>
        </w:rPr>
        <w:t>资格被暂停或取消，无国家禁止市场准入等情形、或其他丧失履约能力的情形</w:t>
      </w:r>
      <w:r>
        <w:rPr>
          <w:rFonts w:hint="eastAsia" w:ascii="宋体" w:hAnsi="宋体" w:eastAsia="宋体" w:cs="Times New Roman"/>
          <w:color w:val="000000"/>
          <w:sz w:val="24"/>
          <w:szCs w:val="24"/>
          <w:highlight w:val="none"/>
        </w:rPr>
        <w:t>；</w:t>
      </w:r>
    </w:p>
    <w:p w14:paraId="386CFBE1">
      <w:pPr>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val="en-US" w:eastAsia="zh-CN"/>
        </w:rPr>
        <w:t>6</w:t>
      </w:r>
      <w:r>
        <w:rPr>
          <w:rFonts w:hint="eastAsia" w:ascii="宋体" w:hAnsi="宋体"/>
          <w:color w:val="000000"/>
          <w:sz w:val="24"/>
          <w:szCs w:val="24"/>
        </w:rPr>
        <w:t>为保证持续网络安全服务能力并提高资源利用率，降低闲置率，需要对一卡通出口防火墙设备提供一年的硬件维保和软件、规则库升级，维保期间需要提供原厂技术支持和应急一小时内响应</w:t>
      </w:r>
      <w:r>
        <w:rPr>
          <w:rFonts w:hint="eastAsia" w:ascii="宋体" w:hAnsi="宋体"/>
          <w:color w:val="000000"/>
          <w:sz w:val="24"/>
          <w:szCs w:val="24"/>
          <w:lang w:val="en-US" w:eastAsia="zh-CN"/>
        </w:rPr>
        <w:t>(自行提供承诺)</w:t>
      </w:r>
      <w:r>
        <w:rPr>
          <w:rFonts w:hint="eastAsia" w:ascii="宋体" w:hAnsi="宋体" w:eastAsia="宋体" w:cs="Times New Roman"/>
          <w:color w:val="000000"/>
          <w:sz w:val="24"/>
          <w:szCs w:val="24"/>
          <w:highlight w:val="none"/>
        </w:rPr>
        <w:t>；</w:t>
      </w:r>
    </w:p>
    <w:p w14:paraId="015C8882">
      <w:pPr>
        <w:pStyle w:val="7"/>
        <w:spacing w:line="360" w:lineRule="auto"/>
        <w:ind w:firstLine="480" w:firstLineChars="200"/>
        <w:rPr>
          <w:rFonts w:hint="eastAsia"/>
          <w:color w:val="000000"/>
          <w:sz w:val="24"/>
          <w:szCs w:val="24"/>
        </w:rPr>
      </w:pPr>
      <w:r>
        <w:rPr>
          <w:rFonts w:hint="eastAsia"/>
          <w:color w:val="000000"/>
          <w:sz w:val="24"/>
          <w:szCs w:val="24"/>
        </w:rPr>
        <w:t>3.</w:t>
      </w:r>
      <w:r>
        <w:rPr>
          <w:rFonts w:hint="eastAsia"/>
          <w:color w:val="000000"/>
          <w:sz w:val="24"/>
          <w:szCs w:val="24"/>
          <w:lang w:val="en-US" w:eastAsia="zh-CN"/>
        </w:rPr>
        <w:t>7</w:t>
      </w:r>
      <w:r>
        <w:rPr>
          <w:rFonts w:hint="eastAsia"/>
          <w:color w:val="000000"/>
          <w:sz w:val="24"/>
          <w:szCs w:val="24"/>
        </w:rPr>
        <w:t>本项目对失信被执行人，按照《关于在招标投标活动中对失信被执行人实施联合惩戒的通知》（法【2016】285号）执行。由</w:t>
      </w:r>
      <w:r>
        <w:rPr>
          <w:rFonts w:hint="eastAsia"/>
          <w:color w:val="000000"/>
          <w:sz w:val="24"/>
          <w:szCs w:val="24"/>
          <w:lang w:eastAsia="zh-CN"/>
        </w:rPr>
        <w:t>供应商</w:t>
      </w:r>
      <w:r>
        <w:rPr>
          <w:rFonts w:hint="eastAsia"/>
          <w:color w:val="000000"/>
          <w:sz w:val="24"/>
          <w:szCs w:val="24"/>
        </w:rPr>
        <w:t>通过“信用中国”网站（ www.creditchina.gov.cn）查询未列入重大税收违法失信主体、未列入政府采购严重违法失信行为记录名单查询结果网页截图。不得为“中国政府采购网”政府采购严重违法失信行为记录名单中被财政部门禁止参加政府采购活动的供应商（处罚决定规定的时间和地域范围内）查询结果网页截图。</w:t>
      </w:r>
    </w:p>
    <w:p w14:paraId="6BD96CB3">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http://zxgk.court.gov.cn/shixin/查询失信被执行人，对被列入失信被执行人的</w:t>
      </w:r>
      <w:r>
        <w:rPr>
          <w:rFonts w:hint="eastAsia"/>
          <w:color w:val="000000"/>
          <w:sz w:val="24"/>
          <w:szCs w:val="24"/>
          <w:lang w:eastAsia="zh-CN"/>
        </w:rPr>
        <w:t>供应商</w:t>
      </w:r>
      <w:r>
        <w:rPr>
          <w:rFonts w:hint="eastAsia" w:ascii="宋体" w:hAnsi="宋体" w:cs="宋体"/>
          <w:color w:val="000000"/>
          <w:sz w:val="24"/>
          <w:szCs w:val="24"/>
        </w:rPr>
        <w:t>处理方法和评标标准：</w:t>
      </w:r>
      <w:r>
        <w:rPr>
          <w:rFonts w:hint="eastAsia" w:ascii="宋体" w:hAnsi="宋体"/>
          <w:color w:val="000000"/>
          <w:sz w:val="24"/>
          <w:szCs w:val="24"/>
          <w:highlight w:val="none"/>
        </w:rPr>
        <w:t>按照《昆明市严重失信主体公共资源交易领域惩戒实施细则》（昆政规【2019】2号）执行</w:t>
      </w:r>
      <w:r>
        <w:rPr>
          <w:rFonts w:hint="eastAsia" w:ascii="宋体" w:hAnsi="宋体" w:cs="宋体"/>
          <w:color w:val="000000"/>
          <w:sz w:val="24"/>
          <w:szCs w:val="24"/>
        </w:rPr>
        <w:t>；</w:t>
      </w:r>
    </w:p>
    <w:p w14:paraId="7D837A0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val="en-US" w:eastAsia="zh-CN"/>
        </w:rPr>
        <w:t>8</w:t>
      </w:r>
      <w:r>
        <w:rPr>
          <w:rFonts w:hint="eastAsia" w:ascii="宋体" w:hAnsi="宋体"/>
          <w:color w:val="000000"/>
          <w:sz w:val="24"/>
          <w:szCs w:val="24"/>
        </w:rPr>
        <w:t>本次竞争性</w:t>
      </w:r>
      <w:r>
        <w:rPr>
          <w:rFonts w:hint="eastAsia" w:ascii="宋体" w:hAnsi="宋体"/>
          <w:color w:val="000000"/>
          <w:sz w:val="24"/>
          <w:szCs w:val="24"/>
          <w:lang w:eastAsia="zh-CN"/>
        </w:rPr>
        <w:t>磋商</w:t>
      </w:r>
      <w:r>
        <w:rPr>
          <w:rFonts w:hint="eastAsia" w:ascii="宋体" w:hAnsi="宋体"/>
          <w:color w:val="000000"/>
          <w:sz w:val="24"/>
          <w:szCs w:val="24"/>
        </w:rPr>
        <w:t>不接受联合体，严禁分包、转包；</w:t>
      </w:r>
    </w:p>
    <w:p w14:paraId="37EBE7AB">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val="en-US" w:eastAsia="zh-CN"/>
        </w:rPr>
        <w:t>9</w:t>
      </w:r>
      <w:r>
        <w:rPr>
          <w:rFonts w:hint="eastAsia" w:ascii="宋体" w:hAnsi="宋体"/>
          <w:color w:val="000000"/>
          <w:sz w:val="24"/>
          <w:szCs w:val="24"/>
        </w:rPr>
        <w:t>第一</w:t>
      </w:r>
      <w:r>
        <w:rPr>
          <w:rFonts w:hint="eastAsia" w:ascii="宋体" w:hAnsi="宋体"/>
          <w:color w:val="000000"/>
          <w:sz w:val="24"/>
          <w:szCs w:val="24"/>
          <w:lang w:eastAsia="zh-CN"/>
        </w:rPr>
        <w:t>成交</w:t>
      </w:r>
      <w:r>
        <w:rPr>
          <w:rFonts w:hint="eastAsia" w:ascii="宋体" w:hAnsi="宋体"/>
          <w:color w:val="000000"/>
          <w:sz w:val="24"/>
          <w:szCs w:val="24"/>
        </w:rPr>
        <w:t>候选人的行贿犯罪档案信息查询，采购人（采购代理机构）可以通过“中国裁判文书网”查询相关信息。若经采购人（采购代理机构）查询存在行贿犯罪情形的，取消其</w:t>
      </w:r>
      <w:r>
        <w:rPr>
          <w:rFonts w:hint="eastAsia" w:ascii="宋体" w:hAnsi="宋体"/>
          <w:color w:val="000000"/>
          <w:sz w:val="24"/>
          <w:szCs w:val="24"/>
          <w:lang w:eastAsia="zh-CN"/>
        </w:rPr>
        <w:t>成交</w:t>
      </w:r>
      <w:r>
        <w:rPr>
          <w:rFonts w:hint="eastAsia" w:ascii="宋体" w:hAnsi="宋体"/>
          <w:color w:val="000000"/>
          <w:sz w:val="24"/>
          <w:szCs w:val="24"/>
        </w:rPr>
        <w:t>候选人资格；</w:t>
      </w:r>
    </w:p>
    <w:p w14:paraId="353A2C9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lang w:val="en-US" w:eastAsia="zh-CN"/>
        </w:rPr>
        <w:t>10</w:t>
      </w:r>
      <w:r>
        <w:rPr>
          <w:rFonts w:hint="eastAsia" w:ascii="宋体" w:hAnsi="宋体"/>
          <w:color w:val="000000"/>
          <w:sz w:val="24"/>
          <w:szCs w:val="24"/>
        </w:rPr>
        <w:t>法定代表人（单位负责人）为同一个人的两个及两个以上法人，母公司、全资子公司及其控股公司，都不得在同一招标中同时投标。</w:t>
      </w:r>
    </w:p>
    <w:p w14:paraId="59D29BD7">
      <w:pPr>
        <w:pStyle w:val="6"/>
        <w:numPr>
          <w:ilvl w:val="0"/>
          <w:numId w:val="1"/>
        </w:numPr>
        <w:spacing w:line="360" w:lineRule="auto"/>
        <w:jc w:val="left"/>
        <w:rPr>
          <w:rFonts w:ascii="宋体" w:hAnsi="宋体" w:eastAsia="宋体"/>
          <w:color w:val="000000"/>
          <w:sz w:val="24"/>
          <w:szCs w:val="24"/>
          <w:highlight w:val="none"/>
        </w:rPr>
      </w:pPr>
      <w:bookmarkStart w:id="7" w:name="_Toc22269"/>
      <w:r>
        <w:rPr>
          <w:rFonts w:hint="eastAsia" w:ascii="宋体" w:hAnsi="宋体" w:eastAsia="宋体"/>
          <w:color w:val="000000"/>
          <w:sz w:val="24"/>
          <w:szCs w:val="24"/>
          <w:highlight w:val="none"/>
        </w:rPr>
        <w:t>竞争性磋商文件的获取</w:t>
      </w:r>
      <w:bookmarkEnd w:id="6"/>
      <w:bookmarkEnd w:id="7"/>
    </w:p>
    <w:p w14:paraId="638EC42B">
      <w:pPr>
        <w:spacing w:line="360" w:lineRule="auto"/>
        <w:ind w:firstLine="480" w:firstLineChars="200"/>
        <w:rPr>
          <w:rFonts w:hint="eastAsia" w:ascii="宋体" w:hAnsi="宋体"/>
          <w:color w:val="000000"/>
          <w:sz w:val="24"/>
          <w:szCs w:val="24"/>
        </w:rPr>
      </w:pPr>
      <w:bookmarkStart w:id="8" w:name="_Toc88165953"/>
      <w:r>
        <w:rPr>
          <w:rFonts w:hint="eastAsia" w:ascii="宋体" w:hAnsi="宋体"/>
          <w:color w:val="000000"/>
          <w:sz w:val="24"/>
          <w:szCs w:val="24"/>
        </w:rPr>
        <w:t>4.1凡符合资格要求的</w:t>
      </w:r>
      <w:r>
        <w:rPr>
          <w:rFonts w:hint="eastAsia" w:ascii="宋体" w:hAnsi="宋体"/>
          <w:color w:val="000000"/>
          <w:sz w:val="24"/>
          <w:szCs w:val="24"/>
          <w:lang w:eastAsia="zh-CN"/>
        </w:rPr>
        <w:t>供应商</w:t>
      </w:r>
      <w:r>
        <w:rPr>
          <w:rFonts w:hint="eastAsia" w:ascii="宋体" w:hAnsi="宋体"/>
          <w:color w:val="000000"/>
          <w:sz w:val="24"/>
          <w:szCs w:val="24"/>
        </w:rPr>
        <w:t>，请于202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6</w:t>
      </w:r>
      <w:r>
        <w:rPr>
          <w:rFonts w:hint="eastAsia" w:ascii="宋体" w:hAnsi="宋体"/>
          <w:color w:val="000000"/>
          <w:sz w:val="24"/>
          <w:szCs w:val="24"/>
        </w:rPr>
        <w:t>月</w:t>
      </w:r>
      <w:r>
        <w:rPr>
          <w:rFonts w:hint="eastAsia" w:ascii="宋体" w:hAnsi="宋体"/>
          <w:color w:val="000000"/>
          <w:sz w:val="24"/>
          <w:szCs w:val="24"/>
          <w:lang w:val="en-US" w:eastAsia="zh-CN"/>
        </w:rPr>
        <w:t>3</w:t>
      </w:r>
      <w:r>
        <w:rPr>
          <w:rFonts w:hint="eastAsia" w:ascii="宋体" w:hAnsi="宋体"/>
          <w:color w:val="000000"/>
          <w:sz w:val="24"/>
          <w:szCs w:val="24"/>
        </w:rPr>
        <w:t>日至202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6</w:t>
      </w:r>
      <w:r>
        <w:rPr>
          <w:rFonts w:hint="eastAsia" w:ascii="宋体" w:hAnsi="宋体"/>
          <w:color w:val="000000"/>
          <w:sz w:val="24"/>
          <w:szCs w:val="24"/>
        </w:rPr>
        <w:t>月</w:t>
      </w:r>
      <w:r>
        <w:rPr>
          <w:rFonts w:hint="eastAsia" w:ascii="宋体" w:hAnsi="宋体"/>
          <w:color w:val="000000"/>
          <w:sz w:val="24"/>
          <w:szCs w:val="24"/>
          <w:lang w:val="en-US" w:eastAsia="zh-CN"/>
        </w:rPr>
        <w:t>10</w:t>
      </w:r>
      <w:r>
        <w:rPr>
          <w:rFonts w:hint="eastAsia" w:ascii="宋体" w:hAnsi="宋体"/>
          <w:color w:val="000000"/>
          <w:sz w:val="24"/>
          <w:szCs w:val="24"/>
        </w:rPr>
        <w:t>日（节假日除外），每日上午8时30分至11时30分，下午2时00分至5时00分(北京时间，下同)到云南国瑞咨询管理有限公司（</w:t>
      </w:r>
      <w:r>
        <w:rPr>
          <w:rFonts w:hint="eastAsia" w:ascii="宋体" w:hAnsi="宋体" w:eastAsia="宋体" w:cs="宋体"/>
          <w:color w:val="000000"/>
          <w:sz w:val="24"/>
          <w:szCs w:val="24"/>
        </w:rPr>
        <w:t>昆明市东风西路1号云上四季尚品酒店（昆明南屏步行街百大店）</w:t>
      </w:r>
      <w:r>
        <w:rPr>
          <w:rFonts w:hint="eastAsia" w:ascii="宋体" w:hAnsi="宋体"/>
          <w:color w:val="000000"/>
          <w:sz w:val="24"/>
          <w:szCs w:val="24"/>
        </w:rPr>
        <w:t>11楼11号）报名，逾期不予受理。</w:t>
      </w:r>
    </w:p>
    <w:p w14:paraId="3FC1912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4.2</w:t>
      </w:r>
      <w:r>
        <w:rPr>
          <w:rFonts w:hint="eastAsia" w:ascii="宋体" w:hAnsi="宋体" w:eastAsia="宋体"/>
          <w:color w:val="000000"/>
          <w:sz w:val="24"/>
          <w:szCs w:val="24"/>
          <w:highlight w:val="none"/>
        </w:rPr>
        <w:t>竞争性磋商</w:t>
      </w:r>
      <w:r>
        <w:rPr>
          <w:rFonts w:hint="eastAsia" w:ascii="宋体" w:hAnsi="宋体"/>
          <w:color w:val="000000"/>
          <w:sz w:val="24"/>
          <w:szCs w:val="24"/>
        </w:rPr>
        <w:t>文件每套售价为</w:t>
      </w:r>
      <w:r>
        <w:rPr>
          <w:rFonts w:ascii="宋体" w:hAnsi="宋体"/>
          <w:color w:val="000000"/>
          <w:sz w:val="24"/>
          <w:szCs w:val="24"/>
        </w:rPr>
        <w:t>1</w:t>
      </w:r>
      <w:r>
        <w:rPr>
          <w:rFonts w:hint="eastAsia" w:ascii="宋体" w:hAnsi="宋体"/>
          <w:color w:val="000000"/>
          <w:sz w:val="24"/>
          <w:szCs w:val="24"/>
        </w:rPr>
        <w:t>200元，售后不退。</w:t>
      </w:r>
    </w:p>
    <w:p w14:paraId="33AF6407">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邮购</w:t>
      </w:r>
      <w:r>
        <w:rPr>
          <w:rFonts w:hint="eastAsia" w:ascii="宋体" w:hAnsi="宋体" w:eastAsia="宋体"/>
          <w:color w:val="000000"/>
          <w:sz w:val="24"/>
          <w:szCs w:val="24"/>
          <w:highlight w:val="none"/>
        </w:rPr>
        <w:t>竞争性磋商</w:t>
      </w:r>
      <w:r>
        <w:rPr>
          <w:rFonts w:hint="eastAsia" w:ascii="宋体" w:hAnsi="宋体"/>
          <w:color w:val="000000"/>
          <w:sz w:val="24"/>
          <w:szCs w:val="24"/>
        </w:rPr>
        <w:t>文件的，代理机构在收到报名费后1日内寄送。</w:t>
      </w:r>
    </w:p>
    <w:p w14:paraId="7B22CFF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单位账户信息如下：</w:t>
      </w:r>
    </w:p>
    <w:p w14:paraId="3EEB9F63">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收款单位：云南国瑞咨询管理有限公司</w:t>
      </w:r>
    </w:p>
    <w:p w14:paraId="4E406599">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户    名：云南国瑞咨询管理有限公司</w:t>
      </w:r>
    </w:p>
    <w:p w14:paraId="07894D3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开 户 行：工商银行昆明市南屏支行</w:t>
      </w:r>
    </w:p>
    <w:p w14:paraId="4CFC76B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帐    号：2502011019221503739</w:t>
      </w:r>
    </w:p>
    <w:p w14:paraId="44400E73">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供应商</w:t>
      </w:r>
      <w:r>
        <w:rPr>
          <w:rFonts w:hint="eastAsia" w:ascii="宋体" w:hAnsi="宋体"/>
          <w:color w:val="000000"/>
          <w:sz w:val="24"/>
          <w:szCs w:val="24"/>
        </w:rPr>
        <w:t>汇款后，须在规定的获取</w:t>
      </w:r>
      <w:r>
        <w:rPr>
          <w:rFonts w:hint="eastAsia" w:ascii="宋体" w:hAnsi="宋体" w:eastAsia="宋体"/>
          <w:color w:val="000000"/>
          <w:sz w:val="24"/>
          <w:szCs w:val="24"/>
          <w:highlight w:val="none"/>
        </w:rPr>
        <w:t>竞争性磋商</w:t>
      </w:r>
      <w:r>
        <w:rPr>
          <w:rFonts w:hint="eastAsia" w:ascii="宋体" w:hAnsi="宋体"/>
          <w:color w:val="000000"/>
          <w:sz w:val="24"/>
          <w:szCs w:val="24"/>
        </w:rPr>
        <w:t xml:space="preserve">文件的时间内，将报名资料及汇款凭证发送到采购代理机构邮箱474839305@qq.com内予以确认。  </w:t>
      </w:r>
    </w:p>
    <w:p w14:paraId="7F3CC4D4">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4.3报名时应提交的资料：</w:t>
      </w:r>
    </w:p>
    <w:p w14:paraId="0795222C">
      <w:pPr>
        <w:spacing w:line="360" w:lineRule="auto"/>
        <w:ind w:firstLine="480" w:firstLineChars="200"/>
        <w:rPr>
          <w:rFonts w:hint="eastAsia" w:ascii="宋体" w:hAnsi="宋体" w:cs="仿宋_GB2312"/>
          <w:color w:val="000000"/>
          <w:sz w:val="24"/>
          <w:szCs w:val="24"/>
        </w:rPr>
      </w:pPr>
      <w:r>
        <w:rPr>
          <w:rFonts w:hint="eastAsia" w:ascii="宋体" w:hAnsi="宋体" w:cs="宋体"/>
          <w:color w:val="000000"/>
          <w:sz w:val="24"/>
          <w:szCs w:val="24"/>
        </w:rPr>
        <w:t>①有效</w:t>
      </w:r>
      <w:r>
        <w:rPr>
          <w:rFonts w:hint="eastAsia" w:ascii="宋体" w:hAnsi="宋体" w:cs="仿宋_GB2312"/>
          <w:color w:val="000000"/>
          <w:sz w:val="24"/>
          <w:szCs w:val="24"/>
        </w:rPr>
        <w:t>营业执照（复印件加盖公章）</w:t>
      </w:r>
    </w:p>
    <w:p w14:paraId="5A296D9A">
      <w:pPr>
        <w:spacing w:line="360" w:lineRule="auto"/>
        <w:ind w:firstLine="480" w:firstLineChars="200"/>
        <w:rPr>
          <w:rFonts w:hint="eastAsia" w:ascii="宋体" w:hAnsi="宋体" w:cs="仿宋_GB2312"/>
          <w:color w:val="000000"/>
          <w:sz w:val="24"/>
          <w:szCs w:val="24"/>
        </w:rPr>
      </w:pPr>
      <w:r>
        <w:rPr>
          <w:rFonts w:hint="eastAsia" w:ascii="宋体" w:hAnsi="宋体" w:cs="宋体"/>
          <w:color w:val="000000"/>
          <w:sz w:val="24"/>
          <w:szCs w:val="24"/>
        </w:rPr>
        <w:t>②</w:t>
      </w:r>
      <w:r>
        <w:rPr>
          <w:rFonts w:hint="eastAsia" w:ascii="宋体" w:hAnsi="宋体" w:cs="仿宋_GB2312"/>
          <w:color w:val="000000"/>
          <w:sz w:val="24"/>
          <w:szCs w:val="24"/>
        </w:rPr>
        <w:t>法定代表人身份证明书（原件）</w:t>
      </w:r>
    </w:p>
    <w:p w14:paraId="237EBE4B">
      <w:pPr>
        <w:spacing w:line="360" w:lineRule="auto"/>
        <w:ind w:firstLine="480" w:firstLineChars="200"/>
        <w:rPr>
          <w:rFonts w:hint="eastAsia" w:ascii="宋体" w:hAnsi="宋体" w:cs="仿宋_GB2312"/>
          <w:color w:val="000000"/>
          <w:sz w:val="24"/>
          <w:szCs w:val="24"/>
        </w:rPr>
      </w:pPr>
      <w:r>
        <w:rPr>
          <w:rFonts w:hint="eastAsia" w:ascii="宋体" w:hAnsi="宋体" w:cs="宋体"/>
          <w:color w:val="000000"/>
          <w:sz w:val="24"/>
          <w:szCs w:val="24"/>
        </w:rPr>
        <w:t>③</w:t>
      </w:r>
      <w:r>
        <w:rPr>
          <w:rFonts w:hint="eastAsia" w:ascii="宋体" w:hAnsi="宋体" w:cs="仿宋_GB2312"/>
          <w:color w:val="000000"/>
          <w:sz w:val="24"/>
          <w:szCs w:val="24"/>
        </w:rPr>
        <w:t>法定代表人授权委托书（原件）</w:t>
      </w:r>
    </w:p>
    <w:p w14:paraId="023211B2">
      <w:pPr>
        <w:pStyle w:val="6"/>
        <w:numPr>
          <w:ilvl w:val="0"/>
          <w:numId w:val="1"/>
        </w:numPr>
        <w:spacing w:line="360" w:lineRule="auto"/>
        <w:jc w:val="left"/>
        <w:rPr>
          <w:rFonts w:ascii="宋体" w:hAnsi="宋体" w:eastAsia="宋体"/>
          <w:color w:val="000000"/>
          <w:sz w:val="24"/>
          <w:szCs w:val="24"/>
          <w:highlight w:val="none"/>
        </w:rPr>
      </w:pPr>
      <w:bookmarkStart w:id="9" w:name="_Toc13777"/>
      <w:r>
        <w:rPr>
          <w:rFonts w:hint="eastAsia" w:ascii="宋体" w:hAnsi="宋体" w:eastAsia="宋体"/>
          <w:color w:val="000000"/>
          <w:sz w:val="24"/>
          <w:szCs w:val="24"/>
          <w:highlight w:val="none"/>
        </w:rPr>
        <w:t>响应文件的递交</w:t>
      </w:r>
      <w:bookmarkEnd w:id="8"/>
      <w:bookmarkEnd w:id="9"/>
    </w:p>
    <w:p w14:paraId="3BAD1115">
      <w:pPr>
        <w:spacing w:line="360" w:lineRule="auto"/>
        <w:ind w:firstLine="480" w:firstLineChars="200"/>
        <w:rPr>
          <w:rFonts w:hint="eastAsia" w:ascii="宋体" w:hAnsi="宋体"/>
          <w:color w:val="000000"/>
          <w:sz w:val="24"/>
          <w:szCs w:val="24"/>
        </w:rPr>
      </w:pPr>
      <w:bookmarkStart w:id="10" w:name="_Toc88165954"/>
      <w:r>
        <w:rPr>
          <w:rFonts w:hint="eastAsia" w:ascii="宋体" w:hAnsi="宋体"/>
          <w:color w:val="000000"/>
          <w:sz w:val="24"/>
          <w:szCs w:val="24"/>
        </w:rPr>
        <w:t>5.1</w:t>
      </w:r>
      <w:r>
        <w:rPr>
          <w:rFonts w:hint="eastAsia" w:ascii="宋体" w:hAnsi="宋体"/>
          <w:color w:val="000000"/>
          <w:sz w:val="24"/>
          <w:szCs w:val="24"/>
          <w:lang w:eastAsia="zh-CN"/>
        </w:rPr>
        <w:t>响应</w:t>
      </w:r>
      <w:r>
        <w:rPr>
          <w:rFonts w:hint="eastAsia" w:ascii="宋体" w:hAnsi="宋体"/>
          <w:color w:val="000000"/>
          <w:sz w:val="24"/>
          <w:szCs w:val="24"/>
        </w:rPr>
        <w:t>文件递交截止时间：202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6</w:t>
      </w:r>
      <w:r>
        <w:rPr>
          <w:rFonts w:hint="eastAsia" w:ascii="宋体" w:hAnsi="宋体"/>
          <w:color w:val="000000"/>
          <w:sz w:val="24"/>
          <w:szCs w:val="24"/>
        </w:rPr>
        <w:t>月</w:t>
      </w:r>
      <w:r>
        <w:rPr>
          <w:rFonts w:hint="eastAsia" w:ascii="宋体" w:hAnsi="宋体"/>
          <w:color w:val="000000"/>
          <w:sz w:val="24"/>
          <w:szCs w:val="24"/>
          <w:lang w:val="en-US" w:eastAsia="zh-CN"/>
        </w:rPr>
        <w:t>16</w:t>
      </w:r>
      <w:r>
        <w:rPr>
          <w:rFonts w:hint="eastAsia" w:ascii="宋体" w:hAnsi="宋体"/>
          <w:color w:val="000000"/>
          <w:sz w:val="24"/>
          <w:szCs w:val="24"/>
        </w:rPr>
        <w:t>日13时30分[北京时间]；</w:t>
      </w:r>
    </w:p>
    <w:p w14:paraId="7AA87163">
      <w:pPr>
        <w:spacing w:line="360" w:lineRule="auto"/>
        <w:ind w:firstLine="480" w:firstLineChars="200"/>
        <w:rPr>
          <w:rFonts w:hint="eastAsia" w:ascii="宋体" w:hAnsi="宋体"/>
          <w:color w:val="000000"/>
          <w:sz w:val="24"/>
          <w:szCs w:val="24"/>
        </w:rPr>
      </w:pPr>
      <w:r>
        <w:rPr>
          <w:rFonts w:hint="eastAsia" w:ascii="宋体" w:hAnsi="宋体" w:eastAsia="宋体" w:cs="宋体"/>
          <w:color w:val="000000"/>
          <w:sz w:val="24"/>
          <w:szCs w:val="24"/>
        </w:rPr>
        <w:t>5.2</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文件递交地点：昆明市东风西路1号云上四季尚品酒店（昆明南屏步行街百大店）10楼1021号会议室（云南国瑞咨询管理有限公司），逾期或不符合要求的</w:t>
      </w:r>
      <w:r>
        <w:rPr>
          <w:rFonts w:hint="eastAsia" w:ascii="宋体" w:hAnsi="宋体"/>
          <w:color w:val="000000"/>
          <w:sz w:val="24"/>
          <w:szCs w:val="24"/>
          <w:lang w:eastAsia="zh-CN"/>
        </w:rPr>
        <w:t>响应文件</w:t>
      </w:r>
      <w:r>
        <w:rPr>
          <w:rFonts w:hint="eastAsia" w:ascii="宋体" w:hAnsi="宋体"/>
          <w:color w:val="000000"/>
          <w:sz w:val="24"/>
          <w:szCs w:val="24"/>
        </w:rPr>
        <w:t>将被拒收；</w:t>
      </w:r>
    </w:p>
    <w:p w14:paraId="7904F7E9">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5.3</w:t>
      </w:r>
      <w:r>
        <w:rPr>
          <w:rFonts w:hint="eastAsia" w:ascii="宋体" w:hAnsi="宋体"/>
          <w:color w:val="000000"/>
          <w:sz w:val="24"/>
          <w:szCs w:val="24"/>
          <w:lang w:eastAsia="zh-CN"/>
        </w:rPr>
        <w:t>磋商</w:t>
      </w:r>
      <w:r>
        <w:rPr>
          <w:rFonts w:hint="eastAsia" w:ascii="宋体" w:hAnsi="宋体"/>
          <w:color w:val="000000"/>
          <w:sz w:val="24"/>
          <w:szCs w:val="24"/>
        </w:rPr>
        <w:t>时间：202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6</w:t>
      </w:r>
      <w:r>
        <w:rPr>
          <w:rFonts w:hint="eastAsia" w:ascii="宋体" w:hAnsi="宋体"/>
          <w:color w:val="000000"/>
          <w:sz w:val="24"/>
          <w:szCs w:val="24"/>
        </w:rPr>
        <w:t>月</w:t>
      </w:r>
      <w:r>
        <w:rPr>
          <w:rFonts w:hint="eastAsia" w:ascii="宋体" w:hAnsi="宋体"/>
          <w:color w:val="000000"/>
          <w:sz w:val="24"/>
          <w:szCs w:val="24"/>
          <w:lang w:val="en-US" w:eastAsia="zh-CN"/>
        </w:rPr>
        <w:t>16</w:t>
      </w:r>
      <w:r>
        <w:rPr>
          <w:rFonts w:hint="eastAsia" w:ascii="宋体" w:hAnsi="宋体"/>
          <w:color w:val="000000"/>
          <w:sz w:val="24"/>
          <w:szCs w:val="24"/>
        </w:rPr>
        <w:t>日13时30分[北京时间]；</w:t>
      </w:r>
    </w:p>
    <w:p w14:paraId="0808D0B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5.4</w:t>
      </w:r>
      <w:r>
        <w:rPr>
          <w:rFonts w:hint="eastAsia" w:ascii="宋体" w:hAnsi="宋体"/>
          <w:color w:val="000000"/>
          <w:sz w:val="24"/>
          <w:szCs w:val="24"/>
          <w:lang w:eastAsia="zh-CN"/>
        </w:rPr>
        <w:t>磋商</w:t>
      </w:r>
      <w:r>
        <w:rPr>
          <w:rFonts w:hint="eastAsia" w:ascii="宋体" w:hAnsi="宋体"/>
          <w:color w:val="000000"/>
          <w:sz w:val="24"/>
          <w:szCs w:val="24"/>
        </w:rPr>
        <w:t>地点：</w:t>
      </w:r>
      <w:r>
        <w:rPr>
          <w:rFonts w:hint="eastAsia" w:ascii="宋体" w:hAnsi="宋体" w:eastAsia="宋体" w:cs="宋体"/>
          <w:color w:val="000000"/>
          <w:sz w:val="24"/>
          <w:szCs w:val="24"/>
        </w:rPr>
        <w:t>昆明市东风西路1号云上四季尚品酒店（昆明南屏步行街百大店）10楼1021号会议室（云南国瑞咨询管理有限公司）</w:t>
      </w:r>
      <w:r>
        <w:rPr>
          <w:rFonts w:ascii="宋体" w:hAnsi="宋体"/>
          <w:color w:val="000000"/>
          <w:sz w:val="24"/>
          <w:szCs w:val="24"/>
        </w:rPr>
        <w:t>。</w:t>
      </w:r>
    </w:p>
    <w:p w14:paraId="0A2F6186">
      <w:pPr>
        <w:pStyle w:val="6"/>
        <w:numPr>
          <w:ilvl w:val="0"/>
          <w:numId w:val="1"/>
        </w:numPr>
        <w:spacing w:line="360" w:lineRule="auto"/>
        <w:jc w:val="left"/>
        <w:rPr>
          <w:rFonts w:hint="eastAsia" w:ascii="宋体" w:hAnsi="宋体" w:eastAsia="宋体"/>
          <w:color w:val="000000"/>
          <w:sz w:val="24"/>
          <w:szCs w:val="24"/>
          <w:highlight w:val="none"/>
        </w:rPr>
      </w:pPr>
      <w:bookmarkStart w:id="11" w:name="_Toc31898"/>
      <w:r>
        <w:rPr>
          <w:rFonts w:hint="eastAsia" w:ascii="宋体" w:hAnsi="宋体" w:eastAsia="宋体"/>
          <w:color w:val="000000"/>
          <w:sz w:val="24"/>
          <w:szCs w:val="24"/>
          <w:highlight w:val="none"/>
        </w:rPr>
        <w:t>发布公告的</w:t>
      </w:r>
      <w:r>
        <w:rPr>
          <w:rFonts w:ascii="宋体" w:hAnsi="宋体" w:eastAsia="宋体"/>
          <w:color w:val="000000"/>
          <w:sz w:val="24"/>
          <w:szCs w:val="24"/>
          <w:highlight w:val="none"/>
        </w:rPr>
        <w:t>媒介</w:t>
      </w:r>
      <w:bookmarkEnd w:id="10"/>
      <w:bookmarkEnd w:id="11"/>
    </w:p>
    <w:p w14:paraId="380A382E">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rPr>
        <w:t>本次公告在“昆明公交集团有限责任公司官方网站”(</w:t>
      </w:r>
      <w:r>
        <w:rPr>
          <w:rFonts w:ascii="宋体" w:hAnsi="宋体"/>
          <w:color w:val="000000"/>
          <w:sz w:val="24"/>
          <w:szCs w:val="24"/>
        </w:rPr>
        <w:fldChar w:fldCharType="begin"/>
      </w:r>
      <w:r>
        <w:rPr>
          <w:rFonts w:ascii="宋体" w:hAnsi="宋体"/>
          <w:color w:val="000000"/>
          <w:sz w:val="24"/>
          <w:szCs w:val="24"/>
        </w:rPr>
        <w:instrText xml:space="preserve"> HYPERLINK "</w:instrText>
      </w:r>
      <w:r>
        <w:rPr>
          <w:rFonts w:hint="eastAsia" w:ascii="宋体" w:hAnsi="宋体"/>
          <w:color w:val="000000"/>
          <w:sz w:val="24"/>
          <w:szCs w:val="24"/>
        </w:rPr>
        <w:instrText xml:space="preserve">http://www.kunmingbus.cn/</w:instrText>
      </w:r>
      <w:r>
        <w:rPr>
          <w:rFonts w:ascii="宋体" w:hAnsi="宋体"/>
          <w:color w:val="000000"/>
          <w:sz w:val="24"/>
          <w:szCs w:val="24"/>
        </w:rPr>
        <w:instrText xml:space="preserve">" </w:instrText>
      </w:r>
      <w:r>
        <w:rPr>
          <w:rFonts w:ascii="宋体" w:hAnsi="宋体"/>
          <w:color w:val="000000"/>
          <w:sz w:val="24"/>
          <w:szCs w:val="24"/>
        </w:rPr>
        <w:fldChar w:fldCharType="separate"/>
      </w:r>
      <w:r>
        <w:rPr>
          <w:rStyle w:val="5"/>
          <w:rFonts w:hint="eastAsia" w:ascii="宋体" w:hAnsi="宋体"/>
          <w:color w:val="000000"/>
          <w:sz w:val="24"/>
          <w:szCs w:val="24"/>
        </w:rPr>
        <w:t>http://www.kunmingbus.cn/</w:t>
      </w:r>
      <w:r>
        <w:rPr>
          <w:rFonts w:ascii="宋体" w:hAnsi="宋体"/>
          <w:color w:val="000000"/>
          <w:sz w:val="24"/>
          <w:szCs w:val="24"/>
        </w:rPr>
        <w:fldChar w:fldCharType="end"/>
      </w:r>
      <w:r>
        <w:rPr>
          <w:rFonts w:hint="eastAsia" w:ascii="宋体" w:hAnsi="宋体"/>
          <w:color w:val="000000"/>
          <w:sz w:val="24"/>
          <w:szCs w:val="24"/>
        </w:rPr>
        <w:t>)、“中国招标投标公共服务平台”（http://www.cebpubservice.com/）上发布</w:t>
      </w:r>
      <w:r>
        <w:rPr>
          <w:rFonts w:ascii="宋体" w:hAnsi="宋体"/>
          <w:color w:val="000000"/>
          <w:sz w:val="24"/>
          <w:szCs w:val="24"/>
        </w:rPr>
        <w:t>，我公司对其他网站或媒体转载的公告及公告内容不承担任何责任及不作任何解释</w:t>
      </w:r>
      <w:r>
        <w:rPr>
          <w:rFonts w:ascii="宋体" w:hAnsi="宋体"/>
          <w:color w:val="000000"/>
          <w:sz w:val="24"/>
          <w:szCs w:val="24"/>
          <w:highlight w:val="none"/>
        </w:rPr>
        <w:t>。</w:t>
      </w:r>
    </w:p>
    <w:p w14:paraId="20843050">
      <w:pPr>
        <w:pStyle w:val="6"/>
        <w:numPr>
          <w:ilvl w:val="0"/>
          <w:numId w:val="1"/>
        </w:numPr>
        <w:spacing w:line="360" w:lineRule="auto"/>
        <w:jc w:val="left"/>
        <w:rPr>
          <w:rFonts w:ascii="宋体" w:hAnsi="宋体" w:eastAsia="宋体"/>
          <w:color w:val="000000"/>
          <w:szCs w:val="24"/>
          <w:highlight w:val="none"/>
        </w:rPr>
      </w:pPr>
      <w:bookmarkStart w:id="12" w:name="_Toc88165955"/>
      <w:bookmarkStart w:id="13" w:name="_Toc11043"/>
      <w:r>
        <w:rPr>
          <w:rFonts w:hint="eastAsia" w:ascii="宋体" w:hAnsi="宋体" w:eastAsia="宋体"/>
          <w:color w:val="000000"/>
          <w:szCs w:val="24"/>
          <w:highlight w:val="none"/>
        </w:rPr>
        <w:t>联系方式</w:t>
      </w:r>
      <w:bookmarkEnd w:id="12"/>
      <w:bookmarkEnd w:id="13"/>
    </w:p>
    <w:tbl>
      <w:tblPr>
        <w:tblStyle w:val="3"/>
        <w:tblW w:w="10094" w:type="dxa"/>
        <w:tblInd w:w="0" w:type="dxa"/>
        <w:tblLayout w:type="fixed"/>
        <w:tblCellMar>
          <w:top w:w="0" w:type="dxa"/>
          <w:left w:w="108" w:type="dxa"/>
          <w:bottom w:w="0" w:type="dxa"/>
          <w:right w:w="108" w:type="dxa"/>
        </w:tblCellMar>
      </w:tblPr>
      <w:tblGrid>
        <w:gridCol w:w="5047"/>
        <w:gridCol w:w="5047"/>
      </w:tblGrid>
      <w:tr w14:paraId="63E1BBE5">
        <w:tblPrEx>
          <w:tblCellMar>
            <w:top w:w="0" w:type="dxa"/>
            <w:left w:w="108" w:type="dxa"/>
            <w:bottom w:w="0" w:type="dxa"/>
            <w:right w:w="108" w:type="dxa"/>
          </w:tblCellMar>
        </w:tblPrEx>
        <w:trPr>
          <w:trHeight w:val="383" w:hRule="atLeast"/>
        </w:trPr>
        <w:tc>
          <w:tcPr>
            <w:tcW w:w="5047" w:type="dxa"/>
            <w:noWrap w:val="0"/>
            <w:vAlign w:val="center"/>
          </w:tcPr>
          <w:p w14:paraId="708EF448">
            <w:pPr>
              <w:spacing w:line="360" w:lineRule="auto"/>
              <w:rPr>
                <w:rFonts w:hint="eastAsia" w:ascii="宋体" w:hAnsi="宋体"/>
                <w:color w:val="000000"/>
                <w:sz w:val="21"/>
                <w:szCs w:val="21"/>
              </w:rPr>
            </w:pPr>
            <w:r>
              <w:rPr>
                <w:rFonts w:hint="eastAsia" w:ascii="宋体" w:hAnsi="宋体"/>
                <w:color w:val="000000"/>
                <w:sz w:val="21"/>
                <w:szCs w:val="21"/>
              </w:rPr>
              <w:t>采购人：昆明城市公共交通一卡通有限责任公司</w:t>
            </w:r>
          </w:p>
        </w:tc>
        <w:tc>
          <w:tcPr>
            <w:tcW w:w="5047" w:type="dxa"/>
            <w:noWrap w:val="0"/>
            <w:vAlign w:val="center"/>
          </w:tcPr>
          <w:p w14:paraId="641296C2">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采购代理机构：云南国瑞咨询管理有限公司</w:t>
            </w:r>
          </w:p>
        </w:tc>
      </w:tr>
      <w:tr w14:paraId="7CB15E55">
        <w:tblPrEx>
          <w:tblCellMar>
            <w:top w:w="0" w:type="dxa"/>
            <w:left w:w="108" w:type="dxa"/>
            <w:bottom w:w="0" w:type="dxa"/>
            <w:right w:w="108" w:type="dxa"/>
          </w:tblCellMar>
        </w:tblPrEx>
        <w:trPr>
          <w:trHeight w:val="383" w:hRule="atLeast"/>
        </w:trPr>
        <w:tc>
          <w:tcPr>
            <w:tcW w:w="5047" w:type="dxa"/>
            <w:noWrap w:val="0"/>
            <w:vAlign w:val="center"/>
          </w:tcPr>
          <w:p w14:paraId="773623D4">
            <w:pPr>
              <w:spacing w:line="360" w:lineRule="auto"/>
              <w:ind w:left="840" w:hanging="840" w:hangingChars="400"/>
              <w:rPr>
                <w:rFonts w:hint="eastAsia" w:ascii="宋体" w:hAnsi="宋体"/>
                <w:color w:val="000000"/>
                <w:sz w:val="21"/>
                <w:szCs w:val="21"/>
              </w:rPr>
            </w:pPr>
            <w:r>
              <w:rPr>
                <w:rFonts w:hint="eastAsia" w:ascii="宋体" w:hAnsi="宋体"/>
                <w:color w:val="000000"/>
                <w:sz w:val="21"/>
                <w:szCs w:val="21"/>
              </w:rPr>
              <w:t>地  址：云南省昆明市五华区红兴路20号昆明公交第六公司四楼</w:t>
            </w:r>
          </w:p>
        </w:tc>
        <w:tc>
          <w:tcPr>
            <w:tcW w:w="5047" w:type="dxa"/>
            <w:noWrap w:val="0"/>
            <w:vAlign w:val="center"/>
          </w:tcPr>
          <w:p w14:paraId="2A7FBB1C">
            <w:pPr>
              <w:spacing w:line="360" w:lineRule="auto"/>
              <w:ind w:left="1071" w:leftChars="210" w:hanging="630" w:hangingChars="300"/>
              <w:rPr>
                <w:rFonts w:hint="eastAsia" w:ascii="宋体" w:hAnsi="宋体"/>
                <w:color w:val="000000"/>
                <w:sz w:val="21"/>
                <w:szCs w:val="21"/>
              </w:rPr>
            </w:pPr>
            <w:r>
              <w:rPr>
                <w:rFonts w:hint="eastAsia" w:ascii="宋体" w:hAnsi="宋体"/>
                <w:color w:val="000000"/>
                <w:sz w:val="21"/>
                <w:szCs w:val="21"/>
              </w:rPr>
              <w:t>地 址：昆明市东风西路99号新纪元广场11楼11号</w:t>
            </w:r>
          </w:p>
        </w:tc>
      </w:tr>
      <w:tr w14:paraId="6AFB388E">
        <w:tblPrEx>
          <w:tblCellMar>
            <w:top w:w="0" w:type="dxa"/>
            <w:left w:w="108" w:type="dxa"/>
            <w:bottom w:w="0" w:type="dxa"/>
            <w:right w:w="108" w:type="dxa"/>
          </w:tblCellMar>
        </w:tblPrEx>
        <w:trPr>
          <w:trHeight w:val="383" w:hRule="atLeast"/>
        </w:trPr>
        <w:tc>
          <w:tcPr>
            <w:tcW w:w="5047" w:type="dxa"/>
            <w:noWrap w:val="0"/>
            <w:vAlign w:val="center"/>
          </w:tcPr>
          <w:p w14:paraId="71744246">
            <w:pPr>
              <w:spacing w:line="360" w:lineRule="auto"/>
              <w:rPr>
                <w:rFonts w:hint="eastAsia" w:ascii="宋体" w:hAnsi="宋体"/>
                <w:color w:val="000000"/>
                <w:sz w:val="21"/>
                <w:szCs w:val="21"/>
              </w:rPr>
            </w:pPr>
            <w:r>
              <w:rPr>
                <w:rFonts w:hint="eastAsia" w:ascii="宋体" w:hAnsi="宋体"/>
                <w:color w:val="000000"/>
                <w:sz w:val="21"/>
                <w:szCs w:val="21"/>
              </w:rPr>
              <w:t xml:space="preserve">联 系 人：马三思   </w:t>
            </w:r>
          </w:p>
        </w:tc>
        <w:tc>
          <w:tcPr>
            <w:tcW w:w="5047" w:type="dxa"/>
            <w:noWrap w:val="0"/>
            <w:vAlign w:val="center"/>
          </w:tcPr>
          <w:p w14:paraId="202F9DA2">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 xml:space="preserve">联 系 人：鲁敏  黄孟潞  郭柔汐  谭向雪 </w:t>
            </w:r>
          </w:p>
        </w:tc>
      </w:tr>
      <w:tr w14:paraId="4F518F9B">
        <w:tblPrEx>
          <w:tblCellMar>
            <w:top w:w="0" w:type="dxa"/>
            <w:left w:w="108" w:type="dxa"/>
            <w:bottom w:w="0" w:type="dxa"/>
            <w:right w:w="108" w:type="dxa"/>
          </w:tblCellMar>
        </w:tblPrEx>
        <w:trPr>
          <w:trHeight w:val="383" w:hRule="atLeast"/>
        </w:trPr>
        <w:tc>
          <w:tcPr>
            <w:tcW w:w="5047" w:type="dxa"/>
            <w:noWrap w:val="0"/>
            <w:vAlign w:val="center"/>
          </w:tcPr>
          <w:p w14:paraId="1D9117AE">
            <w:pPr>
              <w:spacing w:line="360" w:lineRule="auto"/>
              <w:rPr>
                <w:rFonts w:hint="eastAsia" w:ascii="宋体" w:hAnsi="宋体"/>
                <w:color w:val="000000"/>
                <w:sz w:val="21"/>
                <w:szCs w:val="21"/>
              </w:rPr>
            </w:pPr>
            <w:r>
              <w:rPr>
                <w:rFonts w:hint="eastAsia" w:ascii="宋体" w:hAnsi="宋体"/>
                <w:color w:val="000000"/>
                <w:sz w:val="21"/>
                <w:szCs w:val="21"/>
              </w:rPr>
              <w:t>电    话：0871-65812905</w:t>
            </w:r>
          </w:p>
        </w:tc>
        <w:tc>
          <w:tcPr>
            <w:tcW w:w="5047" w:type="dxa"/>
            <w:noWrap w:val="0"/>
            <w:vAlign w:val="center"/>
          </w:tcPr>
          <w:p w14:paraId="2036EB71">
            <w:pPr>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电    话：0871-63626450</w:t>
            </w:r>
            <w:r>
              <w:rPr>
                <w:rFonts w:ascii="宋体" w:hAnsi="宋体"/>
                <w:color w:val="000000"/>
                <w:sz w:val="21"/>
                <w:szCs w:val="21"/>
              </w:rPr>
              <w:t xml:space="preserve"> </w:t>
            </w:r>
          </w:p>
        </w:tc>
      </w:tr>
    </w:tbl>
    <w:p w14:paraId="7D12F0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iryo">
    <w:panose1 w:val="020B0604030504040204"/>
    <w:charset w:val="80"/>
    <w:family w:val="swiss"/>
    <w:pitch w:val="default"/>
    <w:sig w:usb0="E10102FF" w:usb1="EAC7FFFF" w:usb2="00010012" w:usb3="00000000" w:csb0="6002009F" w:csb1="DFD70000"/>
  </w:font>
  <w:font w:name="HiddenHorzOCR">
    <w:altName w:val="MS Gothic"/>
    <w:panose1 w:val="00000000000000000000"/>
    <w:charset w:val="80"/>
    <w:family w:val="auto"/>
    <w:pitch w:val="default"/>
    <w:sig w:usb0="00000000" w:usb1="00000000" w:usb2="00000010" w:usb3="00000000" w:csb0="00020000"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B4D9A"/>
    <w:multiLevelType w:val="multilevel"/>
    <w:tmpl w:val="3FEB4D9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446B6"/>
    <w:rsid w:val="3464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customStyle="1" w:styleId="6">
    <w:name w:val="样式 标题 3 + (中文) 黑体 小四 非加粗 段前: 7.8 磅 段后: 0 磅 行距: 固定值 20 磅"/>
    <w:basedOn w:val="2"/>
    <w:qFormat/>
    <w:uiPriority w:val="0"/>
    <w:pPr>
      <w:widowControl w:val="0"/>
      <w:spacing w:before="0" w:beforeLines="0" w:after="0" w:afterLines="0" w:line="400" w:lineRule="exact"/>
      <w:jc w:val="both"/>
    </w:pPr>
    <w:rPr>
      <w:rFonts w:eastAsia="黑体" w:cs="宋体"/>
      <w:b w:val="0"/>
      <w:bCs/>
      <w:sz w:val="24"/>
      <w:szCs w:val="20"/>
    </w:rPr>
  </w:style>
  <w:style w:type="paragraph" w:customStyle="1" w:styleId="7">
    <w:name w:val="p14"/>
    <w:basedOn w:val="1"/>
    <w:qFormat/>
    <w:uiPriority w:val="0"/>
    <w:pPr>
      <w:spacing w:line="480" w:lineRule="auto"/>
    </w:pPr>
    <w:rPr>
      <w:rFonts w:ascii="宋体" w:hAnsi="宋体" w:cs="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2025-05-30T07:42:00Z</dcterms:created>
  <dc:creator>糖糖敏</dc:creator>
  <cp:lastModifiedBy>糖糖敏</cp:lastModifiedBy>
  <dcterms:modified xsi:type="dcterms:W3CDTF">2025-05-30T07:43:07Z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A0BE0290040B4F40A07EF27A9D02E72C_11</vt:lpwstr>
  </property>
  <property fmtid="{D5CDD505-2E9C-101B-9397-08002B2CF9AE}" pid="4" name="KSOTemplateDocerSaveRecord">
    <vt:lpwstr>eyJoZGlkIjoiOGY1NDJlOTRhOTgxYzFhYmE5ODllZTRiNDFlYzFjOGMiLCJ1c2VySWQiOiI3NzQwNjg3MjkifQ==</vt:lpwstr>
  </property>
</Properties>
</file>